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C83C50" w:rsidRPr="00A3460B">
        <w:rPr>
          <w:rFonts w:ascii="Times New Roman" w:eastAsia="Times New Roman" w:hAnsi="Times New Roman" w:cs="Times New Roman"/>
          <w:sz w:val="28"/>
          <w:szCs w:val="28"/>
          <w:lang w:eastAsia="ru-RU"/>
        </w:rPr>
        <w:t>очной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07B77">
        <w:rPr>
          <w:rFonts w:ascii="Times New Roman" w:eastAsia="Times New Roman" w:hAnsi="Times New Roman" w:cs="Times New Roman"/>
          <w:sz w:val="28"/>
          <w:szCs w:val="28"/>
          <w:lang w:eastAsia="ru-RU"/>
        </w:rPr>
        <w:t>38.03.01</w:t>
      </w:r>
      <w:r w:rsidR="004F5BFD" w:rsidRPr="00A3460B">
        <w:rPr>
          <w:rFonts w:ascii="Times New Roman" w:eastAsia="Times New Roman" w:hAnsi="Times New Roman" w:cs="Times New Roman"/>
          <w:sz w:val="28"/>
          <w:szCs w:val="28"/>
          <w:lang w:eastAsia="ru-RU"/>
        </w:rPr>
        <w:t xml:space="preserve"> </w:t>
      </w:r>
      <w:r w:rsidR="00407B77">
        <w:rPr>
          <w:rFonts w:ascii="Times New Roman" w:eastAsia="Times New Roman" w:hAnsi="Times New Roman" w:cs="Times New Roman"/>
          <w:sz w:val="28"/>
          <w:szCs w:val="28"/>
          <w:lang w:eastAsia="ru-RU"/>
        </w:rPr>
        <w:t>Экономика</w:t>
      </w:r>
    </w:p>
    <w:p w:rsidR="004F5BFD" w:rsidRPr="00A3460B" w:rsidRDefault="004F5BFD" w:rsidP="004F5B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программа </w:t>
      </w:r>
      <w:proofErr w:type="spellStart"/>
      <w:r w:rsidRPr="00A3460B">
        <w:rPr>
          <w:rFonts w:ascii="Times New Roman" w:eastAsia="Times New Roman" w:hAnsi="Times New Roman" w:cs="Times New Roman"/>
          <w:sz w:val="28"/>
          <w:szCs w:val="28"/>
          <w:lang w:eastAsia="ru-RU"/>
        </w:rPr>
        <w:t>бакалавриата</w:t>
      </w:r>
      <w:proofErr w:type="spellEnd"/>
      <w:r w:rsidRPr="00A3460B">
        <w:rPr>
          <w:rFonts w:ascii="Times New Roman" w:eastAsia="Times New Roman" w:hAnsi="Times New Roman" w:cs="Times New Roman"/>
          <w:sz w:val="28"/>
          <w:szCs w:val="28"/>
          <w:lang w:eastAsia="ru-RU"/>
        </w:rPr>
        <w:t xml:space="preserve"> «</w:t>
      </w:r>
      <w:r w:rsidR="002D63DE" w:rsidRPr="00A3460B">
        <w:rPr>
          <w:rFonts w:ascii="Times New Roman" w:eastAsia="Times New Roman" w:hAnsi="Times New Roman" w:cs="Times New Roman"/>
          <w:sz w:val="28"/>
          <w:szCs w:val="28"/>
          <w:lang w:eastAsia="ru-RU"/>
        </w:rPr>
        <w:t>Организация и управление туристическим предприятием</w:t>
      </w:r>
      <w:r w:rsidRPr="00A3460B">
        <w:rPr>
          <w:rFonts w:ascii="Times New Roman" w:eastAsia="Times New Roman" w:hAnsi="Times New Roman" w:cs="Times New Roman"/>
          <w:sz w:val="28"/>
          <w:szCs w:val="28"/>
          <w:lang w:eastAsia="ru-RU"/>
        </w:rPr>
        <w:t>»</w:t>
      </w:r>
    </w:p>
    <w:p w:rsidR="00C83C50" w:rsidRPr="00A3460B" w:rsidRDefault="00B948FA" w:rsidP="004F5BF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3460B">
        <w:rPr>
          <w:rFonts w:ascii="Times New Roman" w:eastAsia="Times New Roman" w:hAnsi="Times New Roman" w:cs="Times New Roman"/>
          <w:sz w:val="28"/>
          <w:szCs w:val="28"/>
          <w:lang w:eastAsia="ru-RU"/>
        </w:rPr>
        <w:t>202</w:t>
      </w:r>
      <w:r w:rsidR="00407B77">
        <w:rPr>
          <w:rFonts w:ascii="Times New Roman" w:eastAsia="Times New Roman" w:hAnsi="Times New Roman" w:cs="Times New Roman"/>
          <w:sz w:val="28"/>
          <w:szCs w:val="28"/>
          <w:lang w:eastAsia="ru-RU"/>
        </w:rPr>
        <w:t>2</w:t>
      </w:r>
      <w:r w:rsidR="004F5BFD" w:rsidRPr="00A3460B">
        <w:rPr>
          <w:rFonts w:ascii="Times New Roman" w:eastAsia="Times New Roman" w:hAnsi="Times New Roman" w:cs="Times New Roman"/>
          <w:sz w:val="28"/>
          <w:szCs w:val="28"/>
          <w:lang w:eastAsia="ru-RU"/>
        </w:rPr>
        <w:t xml:space="preserve"> года набора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bookmarkStart w:id="0" w:name="_GoBack"/>
      <w:bookmarkEnd w:id="0"/>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003266"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131367" w:rsidRDefault="001D0282" w:rsidP="001313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1367">
        <w:rPr>
          <w:rFonts w:ascii="Times New Roman" w:hAnsi="Times New Roman" w:cs="Times New Roman"/>
          <w:sz w:val="28"/>
          <w:szCs w:val="28"/>
        </w:rPr>
        <w:t xml:space="preserve"> </w:t>
      </w:r>
      <w:r w:rsidR="00C83C50" w:rsidRPr="00131367">
        <w:rPr>
          <w:rFonts w:ascii="Times New Roman" w:eastAsia="Times New Roman" w:hAnsi="Times New Roman" w:cs="Times New Roman"/>
          <w:b/>
          <w:sz w:val="28"/>
          <w:szCs w:val="28"/>
          <w:lang w:eastAsia="ru-RU"/>
        </w:rPr>
        <w:t xml:space="preserve">Задачами </w:t>
      </w:r>
      <w:r w:rsidR="00C83C50" w:rsidRPr="00131367">
        <w:rPr>
          <w:rFonts w:ascii="Times New Roman" w:eastAsia="Times New Roman" w:hAnsi="Times New Roman" w:cs="Times New Roman"/>
          <w:sz w:val="28"/>
          <w:szCs w:val="28"/>
          <w:lang w:eastAsia="ru-RU"/>
        </w:rPr>
        <w:t>практики являются:</w:t>
      </w:r>
    </w:p>
    <w:p w:rsidR="00745E8A" w:rsidRP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изучение «Правил оформления и требования к содержанию курсовых проектов (работ) и выпускных квалификационных работ»; </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Calibri" w:hAnsi="Times New Roman" w:cs="Times New Roman"/>
          <w:sz w:val="28"/>
          <w:szCs w:val="28"/>
          <w:lang w:eastAsia="ru-RU"/>
        </w:rPr>
        <w:t xml:space="preserve">- </w:t>
      </w:r>
      <w:r w:rsidRPr="00131367">
        <w:rPr>
          <w:rFonts w:ascii="Times New Roman" w:eastAsia="Times New Roman" w:hAnsi="Times New Roman" w:cs="Times New Roman"/>
          <w:sz w:val="28"/>
          <w:szCs w:val="28"/>
          <w:lang w:bidi="en-US"/>
        </w:rPr>
        <w:t>раскрытие прикладного характера рассматриваемых в учебных дисциплинах базовых категорий;</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Times New Roman" w:hAnsi="Times New Roman" w:cs="Times New Roman"/>
          <w:sz w:val="28"/>
          <w:szCs w:val="28"/>
          <w:lang w:bidi="en-US"/>
        </w:rPr>
        <w:t xml:space="preserve">- приобретение </w:t>
      </w:r>
      <w:proofErr w:type="gramStart"/>
      <w:r w:rsidRPr="00131367">
        <w:rPr>
          <w:rFonts w:ascii="Times New Roman" w:eastAsia="Times New Roman" w:hAnsi="Times New Roman" w:cs="Times New Roman"/>
          <w:sz w:val="28"/>
          <w:szCs w:val="28"/>
          <w:lang w:bidi="en-US"/>
        </w:rPr>
        <w:t>обучающимся</w:t>
      </w:r>
      <w:proofErr w:type="gramEnd"/>
      <w:r w:rsidRPr="00131367">
        <w:rPr>
          <w:rFonts w:ascii="Times New Roman" w:eastAsia="Times New Roman" w:hAnsi="Times New Roman" w:cs="Times New Roman"/>
          <w:sz w:val="28"/>
          <w:szCs w:val="28"/>
          <w:lang w:bidi="en-US"/>
        </w:rPr>
        <w:t xml:space="preserve"> умений и навыков профессионального поведения в процессе трудовой деятельности по избранной специальности на предприятии / учреждении / организации;</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закрепление общих представлений студентов о принципах и законах функционирования </w:t>
      </w:r>
      <w:r>
        <w:rPr>
          <w:rFonts w:ascii="Times New Roman" w:eastAsia="Times New Roman" w:hAnsi="Times New Roman" w:cs="Times New Roman"/>
          <w:sz w:val="28"/>
          <w:szCs w:val="28"/>
          <w:lang w:eastAsia="ru-RU"/>
        </w:rPr>
        <w:t>индустрии туризма</w:t>
      </w:r>
      <w:r w:rsidRPr="00131367">
        <w:rPr>
          <w:rFonts w:ascii="Times New Roman" w:eastAsia="Times New Roman" w:hAnsi="Times New Roman" w:cs="Times New Roman"/>
          <w:sz w:val="28"/>
          <w:szCs w:val="28"/>
          <w:lang w:eastAsia="ru-RU"/>
        </w:rPr>
        <w:t>, знаний по дисциплинам общепрофессиональной и специальной подготовки;</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Способы провед</w:t>
      </w:r>
      <w:r w:rsidR="00131367">
        <w:rPr>
          <w:rFonts w:ascii="Times New Roman" w:eastAsia="Symbol" w:hAnsi="Times New Roman" w:cs="Times New Roman"/>
          <w:sz w:val="28"/>
          <w:szCs w:val="28"/>
          <w:lang w:eastAsia="ru-RU"/>
        </w:rPr>
        <w:t xml:space="preserve">ения практики: </w:t>
      </w:r>
      <w:proofErr w:type="gramStart"/>
      <w:r w:rsidR="00131367">
        <w:rPr>
          <w:rFonts w:ascii="Times New Roman" w:eastAsia="Symbol" w:hAnsi="Times New Roman" w:cs="Times New Roman"/>
          <w:sz w:val="28"/>
          <w:szCs w:val="28"/>
          <w:lang w:eastAsia="ru-RU"/>
        </w:rPr>
        <w:t>стационарная</w:t>
      </w:r>
      <w:proofErr w:type="gramEnd"/>
      <w:r w:rsidRPr="00B948FA">
        <w:rPr>
          <w:rFonts w:ascii="Times New Roman" w:eastAsia="Symbol" w:hAnsi="Times New Roman" w:cs="Times New Roman"/>
          <w:sz w:val="28"/>
          <w:szCs w:val="28"/>
          <w:lang w:eastAsia="ru-RU"/>
        </w:rPr>
        <w:t xml:space="preserve">. </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8C2221" w:rsidRPr="008C2221" w:rsidRDefault="008C2221" w:rsidP="008C2221">
      <w:pPr>
        <w:pStyle w:val="2"/>
        <w:spacing w:after="0" w:line="360" w:lineRule="auto"/>
        <w:ind w:left="0" w:firstLine="720"/>
        <w:jc w:val="both"/>
        <w:rPr>
          <w:rFonts w:ascii="Times New Roman" w:eastAsia="Times New Roman" w:hAnsi="Times New Roman" w:cs="Times New Roman"/>
          <w:sz w:val="28"/>
          <w:szCs w:val="28"/>
          <w:lang w:eastAsia="ru-RU"/>
        </w:rPr>
      </w:pPr>
      <w:proofErr w:type="gramStart"/>
      <w:r>
        <w:rPr>
          <w:rFonts w:ascii="Times New Roman" w:eastAsia="Symbol" w:hAnsi="Times New Roman" w:cs="Times New Roman"/>
          <w:sz w:val="28"/>
          <w:szCs w:val="28"/>
          <w:lang w:eastAsia="ru-RU"/>
        </w:rPr>
        <w:t xml:space="preserve">Место проведения практики </w:t>
      </w:r>
      <w:r w:rsidRPr="008C2221">
        <w:rPr>
          <w:rFonts w:ascii="Times New Roman" w:eastAsia="Times New Roman" w:hAnsi="Times New Roman" w:cs="Times New Roman"/>
          <w:sz w:val="28"/>
          <w:szCs w:val="28"/>
          <w:lang w:eastAsia="ru-RU"/>
        </w:rPr>
        <w:t>– кафедра «Экономика и управление», аудитории, лаборатории, компьютерные классы, библиотека, читальный зал.</w:t>
      </w:r>
      <w:proofErr w:type="gramEnd"/>
    </w:p>
    <w:p w:rsidR="00C83C50" w:rsidRPr="00B948FA" w:rsidRDefault="008C2221" w:rsidP="008C22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C83C50" w:rsidRPr="00B948FA">
        <w:rPr>
          <w:rFonts w:ascii="Times New Roman" w:eastAsia="Symbol" w:hAnsi="Times New Roman" w:cs="Times New Roman"/>
          <w:sz w:val="28"/>
          <w:szCs w:val="28"/>
          <w:lang w:eastAsia="ru-RU"/>
        </w:rPr>
        <w:t xml:space="preserve">Для лиц с ограниченными возможностями здоровья предоставляется выбор мест прохождения практики с учетом состояния здоровья и </w:t>
      </w:r>
      <w:r w:rsidR="00C83C50" w:rsidRPr="00B948FA">
        <w:rPr>
          <w:rFonts w:ascii="Times New Roman" w:eastAsia="Symbol" w:hAnsi="Times New Roman" w:cs="Times New Roman"/>
          <w:sz w:val="28"/>
          <w:szCs w:val="28"/>
          <w:lang w:eastAsia="ru-RU"/>
        </w:rPr>
        <w:lastRenderedPageBreak/>
        <w:t>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8C2221"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Ознакомительная</w:t>
      </w:r>
      <w:r w:rsidRPr="008C2221">
        <w:rPr>
          <w:rFonts w:ascii="Times New Roman" w:eastAsia="Times New Roman" w:hAnsi="Times New Roman" w:cs="Times New Roman"/>
          <w:sz w:val="28"/>
          <w:szCs w:val="28"/>
          <w:lang w:val="x-none" w:eastAsia="ru-RU"/>
        </w:rPr>
        <w:t xml:space="preserve"> практика студентов проводится на кафедре «Экономика и управление».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В 4 семестре руководителем практики выдается студентам индивидуальные задания для написания отчета в реферативной форме.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 xml:space="preserve">Руководство практикой от университета осуществляют ведущие преподаватели кафедры «Экономика и управление». </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Заведующий кафедрой совместно с руководителями практики от университета перед началом практики проводят собрание, на котором информируют студентов о порядке прохождения практики, проводится инструктаж по технике безопасности.</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lastRenderedPageBreak/>
        <w:t>В целях наиболее рационального использования времени студента с руководителем составляется План – прохождения учебной практики и определяется объем работы на каждый день.</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xml:space="preserve">Отчет оформляется в виде пояснительной записки. Титульный лист, лист задания, </w:t>
      </w:r>
      <w:r w:rsidR="000D04D9">
        <w:rPr>
          <w:rFonts w:ascii="Times New Roman" w:eastAsia="Times New Roman" w:hAnsi="Times New Roman" w:cs="Times New Roman"/>
          <w:bCs/>
          <w:color w:val="000000"/>
          <w:spacing w:val="-1"/>
          <w:sz w:val="28"/>
          <w:szCs w:val="28"/>
          <w:lang w:eastAsia="ru-RU"/>
        </w:rPr>
        <w:t>план-график</w:t>
      </w: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w:t>
      </w:r>
      <w:r w:rsidR="00131367">
        <w:rPr>
          <w:rFonts w:ascii="Times New Roman" w:eastAsia="Times New Roman" w:hAnsi="Times New Roman" w:cs="Times New Roman"/>
          <w:bCs/>
          <w:spacing w:val="-1"/>
          <w:sz w:val="28"/>
          <w:szCs w:val="28"/>
          <w:lang w:eastAsia="ru-RU"/>
        </w:rPr>
        <w:t xml:space="preserve"> 242</w:t>
      </w:r>
      <w:r w:rsidRPr="009769C5">
        <w:rPr>
          <w:rFonts w:ascii="Times New Roman" w:eastAsia="Times New Roman" w:hAnsi="Times New Roman" w:cs="Times New Roman"/>
          <w:bCs/>
          <w:spacing w:val="-1"/>
          <w:sz w:val="28"/>
          <w:szCs w:val="28"/>
          <w:lang w:eastAsia="ru-RU"/>
        </w:rPr>
        <w:t>.</w:t>
      </w:r>
    </w:p>
    <w:p w:rsid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827242" w:rsidRDefault="00827242" w:rsidP="0082724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D04D9">
        <w:rPr>
          <w:rFonts w:ascii="Times New Roman" w:hAnsi="Times New Roman" w:cs="Times New Roman"/>
          <w:sz w:val="28"/>
          <w:szCs w:val="28"/>
        </w:rPr>
        <w:t xml:space="preserve">В качестве индивидуального </w:t>
      </w:r>
      <w:r w:rsidRPr="009769C5">
        <w:rPr>
          <w:rFonts w:ascii="Times New Roman" w:hAnsi="Times New Roman" w:cs="Times New Roman"/>
          <w:sz w:val="28"/>
          <w:szCs w:val="28"/>
        </w:rPr>
        <w:t xml:space="preserve">задания по согласованию с руководителем практики от </w:t>
      </w:r>
      <w:r w:rsidRPr="009769C5">
        <w:rPr>
          <w:rFonts w:ascii="Times New Roman" w:hAnsi="Times New Roman" w:cs="Times New Roman"/>
          <w:bCs/>
          <w:sz w:val="28"/>
          <w:szCs w:val="28"/>
        </w:rPr>
        <w:t>Института технологий (филиал) ДГТУ в г. Волгодонске</w:t>
      </w:r>
      <w:r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0D04D9" w:rsidRPr="000D04D9" w:rsidRDefault="000D04D9" w:rsidP="000D04D9">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0D04D9">
        <w:rPr>
          <w:rFonts w:ascii="Times New Roman" w:hAnsi="Times New Roman" w:cs="Times New Roman"/>
          <w:b/>
          <w:sz w:val="28"/>
          <w:szCs w:val="28"/>
        </w:rPr>
        <w:lastRenderedPageBreak/>
        <w:t>Перечень тем длят написания отчетов:</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Определение туризма.</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Социально-экономические категории туризма.</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Основные этапы истории развития туризма в мире.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Типы, формы и категории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Актуальные проблемы развития туризма в РФ.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Современные научные подходы к исследованиям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Виды туризма по мотивационным факторам.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Специальные</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виды</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туризма</w:t>
      </w:r>
      <w:proofErr w:type="spellEnd"/>
      <w:r w:rsidRPr="00827242">
        <w:rPr>
          <w:rFonts w:ascii="Times New Roman" w:hAnsi="Times New Roman"/>
          <w:sz w:val="28"/>
          <w:szCs w:val="28"/>
        </w:rPr>
        <w:t xml:space="preserve">.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Статичные и динамичные, положительные и отрицательные факторы развития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Экологическое, социальное и гуманитарное значение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Прямое и косвенное влияние туризма на экономику.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Рекреационно-туристский потенциал. Его влияние на развитие международного туризма.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География</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международных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туристских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потоков</w:t>
      </w:r>
      <w:proofErr w:type="spellEnd"/>
    </w:p>
    <w:p w:rsidR="00827242"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Тенденции в динамике м</w:t>
      </w:r>
      <w:r w:rsidR="00827242" w:rsidRPr="00003266">
        <w:rPr>
          <w:rFonts w:ascii="Times New Roman" w:hAnsi="Times New Roman"/>
          <w:sz w:val="28"/>
          <w:szCs w:val="28"/>
          <w:lang w:val="ru-RU"/>
        </w:rPr>
        <w:t>еждународного туризма в Европе.</w:t>
      </w:r>
    </w:p>
    <w:p w:rsidR="00131367"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Современное состояние и тенденции развития туристского рынка</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w:t>
      </w:r>
      <w:r w:rsidRPr="0096480F">
        <w:rPr>
          <w:sz w:val="28"/>
          <w:szCs w:val="28"/>
        </w:rPr>
        <w:lastRenderedPageBreak/>
        <w:t>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0D04D9" w:rsidRDefault="0096480F" w:rsidP="009769C5">
      <w:pPr>
        <w:pStyle w:val="ae"/>
        <w:spacing w:after="0" w:line="360" w:lineRule="auto"/>
        <w:ind w:left="0" w:firstLine="851"/>
        <w:jc w:val="both"/>
        <w:rPr>
          <w:sz w:val="28"/>
          <w:szCs w:val="28"/>
        </w:rPr>
      </w:pPr>
      <w:r w:rsidRPr="0096480F">
        <w:rPr>
          <w:sz w:val="28"/>
          <w:szCs w:val="28"/>
        </w:rPr>
        <w:t xml:space="preserve">Отчет подписывается </w:t>
      </w:r>
      <w:proofErr w:type="gramStart"/>
      <w:r w:rsidRPr="0096480F">
        <w:rPr>
          <w:sz w:val="28"/>
          <w:szCs w:val="28"/>
        </w:rPr>
        <w:t>обучающимися</w:t>
      </w:r>
      <w:proofErr w:type="gramEnd"/>
      <w:r w:rsidRPr="0096480F">
        <w:rPr>
          <w:sz w:val="28"/>
          <w:szCs w:val="28"/>
        </w:rPr>
        <w:t xml:space="preserve"> и руководителем практики от </w:t>
      </w:r>
      <w:r w:rsidR="000D04D9">
        <w:rPr>
          <w:sz w:val="28"/>
          <w:szCs w:val="28"/>
        </w:rPr>
        <w:t>кафедры</w:t>
      </w:r>
      <w:r w:rsidRPr="0096480F">
        <w:rPr>
          <w:sz w:val="28"/>
          <w:szCs w:val="28"/>
        </w:rPr>
        <w:t xml:space="preserve">. </w:t>
      </w:r>
    </w:p>
    <w:p w:rsidR="0096480F" w:rsidRPr="0096480F" w:rsidRDefault="0096480F" w:rsidP="009769C5">
      <w:pPr>
        <w:pStyle w:val="ae"/>
        <w:spacing w:after="0" w:line="360" w:lineRule="auto"/>
        <w:ind w:left="0" w:firstLine="851"/>
        <w:jc w:val="both"/>
        <w:rPr>
          <w:sz w:val="28"/>
          <w:szCs w:val="28"/>
        </w:rPr>
      </w:pPr>
      <w:r w:rsidRPr="0096480F">
        <w:rPr>
          <w:sz w:val="28"/>
          <w:szCs w:val="28"/>
        </w:rPr>
        <w:t>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Защита отчета по практике является формой итоговой оценки качества освоения обучающимся образовательной программы и прохождения 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proofErr w:type="gramStart"/>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roofErr w:type="gramEnd"/>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обучающийся продемонстрировал базовые знания важнейших разделов </w:t>
      </w:r>
      <w:proofErr w:type="gramStart"/>
      <w:r w:rsidRPr="0096480F">
        <w:rPr>
          <w:rFonts w:ascii="Times New Roman" w:eastAsia="Calibri" w:hAnsi="Times New Roman" w:cs="Times New Roman"/>
          <w:sz w:val="28"/>
          <w:szCs w:val="28"/>
        </w:rPr>
        <w:t>практики</w:t>
      </w:r>
      <w:proofErr w:type="gramEnd"/>
      <w:r w:rsidRPr="0096480F">
        <w:rPr>
          <w:rFonts w:ascii="Times New Roman" w:eastAsia="Calibri" w:hAnsi="Times New Roman" w:cs="Times New Roman"/>
          <w:sz w:val="28"/>
          <w:szCs w:val="28"/>
        </w:rPr>
        <w:t xml:space="preserve">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 xml:space="preserve">Компетенция (и) или ее часть (и) не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w:t>
      </w:r>
      <w:r w:rsidR="008C4A5C">
        <w:rPr>
          <w:rFonts w:ascii="Times New Roman" w:eastAsia="Times New Roman" w:hAnsi="Times New Roman" w:cs="Times New Roman"/>
          <w:b/>
          <w:sz w:val="24"/>
          <w:szCs w:val="24"/>
          <w:lang w:eastAsia="ru-RU"/>
        </w:rPr>
        <w:br w:type="page"/>
      </w:r>
    </w:p>
    <w:p w:rsidR="00C83C50" w:rsidRPr="00F534ED"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Экономика организации (предприятия) [Электронный ресурс]</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М. : </w:t>
            </w:r>
            <w:proofErr w:type="spellStart"/>
            <w:r w:rsidRPr="009769C5">
              <w:rPr>
                <w:rFonts w:ascii="Times New Roman" w:eastAsiaTheme="minorEastAsia" w:hAnsi="Times New Roman" w:cs="Times New Roman"/>
                <w:color w:val="000000"/>
                <w:sz w:val="19"/>
                <w:szCs w:val="19"/>
                <w:lang w:val="en-US"/>
              </w:rPr>
              <w:t>Логос</w:t>
            </w:r>
            <w:proofErr w:type="spellEnd"/>
            <w:r w:rsidRPr="009769C5">
              <w:rPr>
                <w:rFonts w:ascii="Times New Roman" w:eastAsiaTheme="minorEastAsia" w:hAnsi="Times New Roman" w:cs="Times New Roman"/>
                <w:color w:val="000000"/>
                <w:sz w:val="19"/>
                <w:szCs w:val="19"/>
                <w:lang w:val="en-US"/>
              </w:rPr>
              <w:t>, 2015</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Москва</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Берлин</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Директ-Медиа</w:t>
            </w:r>
            <w:proofErr w:type="spellEnd"/>
            <w:r w:rsidRPr="009769C5">
              <w:rPr>
                <w:rFonts w:ascii="Times New Roman" w:eastAsiaTheme="minorEastAsia" w:hAnsi="Times New Roman" w:cs="Times New Roman"/>
                <w:color w:val="000000"/>
                <w:sz w:val="19"/>
                <w:szCs w:val="19"/>
                <w:lang w:val="en-US"/>
              </w:rPr>
              <w:t>, 2017</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университет. - Новосибирск</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НГТУ,, 2013.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НИКИ (ТУСУР). - Томск</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ТУСУР, 2016.</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gramStart"/>
            <w:r w:rsidRPr="009769C5">
              <w:rPr>
                <w:rFonts w:ascii="Times New Roman" w:eastAsiaTheme="minorEastAsia" w:hAnsi="Times New Roman" w:cs="Times New Roman"/>
                <w:color w:val="000000"/>
                <w:sz w:val="19"/>
                <w:szCs w:val="19"/>
                <w:lang w:val="en-US"/>
              </w:rPr>
              <w:t>М.:</w:t>
            </w:r>
            <w:proofErr w:type="gram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Современная</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гуманит</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академия</w:t>
            </w:r>
            <w:proofErr w:type="spellEnd"/>
            <w:r w:rsidRPr="009769C5">
              <w:rPr>
                <w:rFonts w:ascii="Times New Roman" w:eastAsiaTheme="minorEastAsia" w:hAnsi="Times New Roman" w:cs="Times New Roman"/>
                <w:color w:val="000000"/>
                <w:sz w:val="19"/>
                <w:szCs w:val="19"/>
                <w:lang w:val="en-US"/>
              </w:rPr>
              <w:t>, 2012</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w:t>
            </w:r>
            <w:proofErr w:type="gramStart"/>
            <w:r w:rsidRPr="009769C5">
              <w:rPr>
                <w:rFonts w:ascii="Times New Roman" w:eastAsiaTheme="minorEastAsia" w:hAnsi="Times New Roman" w:cs="Times New Roman"/>
                <w:color w:val="000000"/>
                <w:sz w:val="19"/>
                <w:szCs w:val="19"/>
              </w:rPr>
              <w:t xml:space="preserve"> К</w:t>
            </w:r>
            <w:proofErr w:type="gramEnd"/>
            <w:r w:rsidRPr="009769C5">
              <w:rPr>
                <w:rFonts w:ascii="Times New Roman" w:eastAsiaTheme="minorEastAsia" w:hAnsi="Times New Roman" w:cs="Times New Roman"/>
                <w:color w:val="000000"/>
                <w:sz w:val="19"/>
                <w:szCs w:val="19"/>
              </w:rPr>
              <w:t>°»,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w:t>
            </w:r>
            <w:proofErr w:type="gramEnd"/>
            <w:r w:rsidRPr="009769C5">
              <w:rPr>
                <w:rFonts w:ascii="Times New Roman" w:eastAsiaTheme="minorEastAsia" w:hAnsi="Times New Roman" w:cs="Times New Roman"/>
                <w:color w:val="000000"/>
                <w:sz w:val="19"/>
                <w:szCs w:val="19"/>
              </w:rPr>
              <w:t xml:space="preserve">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pdf</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407B77"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6A" w:rsidRDefault="00E17C6A">
      <w:pPr>
        <w:spacing w:after="0" w:line="240" w:lineRule="auto"/>
      </w:pPr>
      <w:r>
        <w:separator/>
      </w:r>
    </w:p>
  </w:endnote>
  <w:endnote w:type="continuationSeparator" w:id="0">
    <w:p w:rsidR="00E17C6A" w:rsidRDefault="00E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04D9" w:rsidRDefault="000D04D9"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07B77">
      <w:rPr>
        <w:rStyle w:val="aa"/>
        <w:noProof/>
      </w:rPr>
      <w:t>2</w:t>
    </w:r>
    <w:r>
      <w:rPr>
        <w:rStyle w:val="aa"/>
      </w:rPr>
      <w:fldChar w:fldCharType="end"/>
    </w:r>
  </w:p>
  <w:p w:rsidR="000D04D9" w:rsidRDefault="000D04D9"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6A" w:rsidRDefault="00E17C6A">
      <w:pPr>
        <w:spacing w:after="0" w:line="240" w:lineRule="auto"/>
      </w:pPr>
      <w:r>
        <w:separator/>
      </w:r>
    </w:p>
  </w:footnote>
  <w:footnote w:type="continuationSeparator" w:id="0">
    <w:p w:rsidR="00E17C6A" w:rsidRDefault="00E17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67A2D74"/>
    <w:multiLevelType w:val="hybridMultilevel"/>
    <w:tmpl w:val="01489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10">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3">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20">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1">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2">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6">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7">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4">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5">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7">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num>
  <w:num w:numId="3">
    <w:abstractNumId w:val="44"/>
  </w:num>
  <w:num w:numId="4">
    <w:abstractNumId w:val="13"/>
  </w:num>
  <w:num w:numId="5">
    <w:abstractNumId w:val="7"/>
  </w:num>
  <w:num w:numId="6">
    <w:abstractNumId w:val="25"/>
  </w:num>
  <w:num w:numId="7">
    <w:abstractNumId w:val="26"/>
  </w:num>
  <w:num w:numId="8">
    <w:abstractNumId w:val="34"/>
  </w:num>
  <w:num w:numId="9">
    <w:abstractNumId w:val="36"/>
  </w:num>
  <w:num w:numId="10">
    <w:abstractNumId w:val="12"/>
  </w:num>
  <w:num w:numId="11">
    <w:abstractNumId w:val="19"/>
  </w:num>
  <w:num w:numId="12">
    <w:abstractNumId w:val="20"/>
  </w:num>
  <w:num w:numId="13">
    <w:abstractNumId w:val="9"/>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3"/>
  </w:num>
  <w:num w:numId="37">
    <w:abstractNumId w:val="17"/>
  </w:num>
  <w:num w:numId="38">
    <w:abstractNumId w:val="15"/>
  </w:num>
  <w:num w:numId="39">
    <w:abstractNumId w:val="10"/>
  </w:num>
  <w:num w:numId="40">
    <w:abstractNumId w:val="5"/>
  </w:num>
  <w:num w:numId="41">
    <w:abstractNumId w:val="23"/>
  </w:num>
  <w:num w:numId="42">
    <w:abstractNumId w:val="29"/>
  </w:num>
  <w:num w:numId="43">
    <w:abstractNumId w:val="38"/>
  </w:num>
  <w:num w:numId="44">
    <w:abstractNumId w:val="22"/>
  </w:num>
  <w:num w:numId="45">
    <w:abstractNumId w:val="4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03266"/>
    <w:rsid w:val="0000388F"/>
    <w:rsid w:val="00094ABF"/>
    <w:rsid w:val="000D04D9"/>
    <w:rsid w:val="0011333B"/>
    <w:rsid w:val="00131367"/>
    <w:rsid w:val="00152EEA"/>
    <w:rsid w:val="001A5D28"/>
    <w:rsid w:val="001D0282"/>
    <w:rsid w:val="00276D14"/>
    <w:rsid w:val="002D63DE"/>
    <w:rsid w:val="00323738"/>
    <w:rsid w:val="004021A6"/>
    <w:rsid w:val="00407B77"/>
    <w:rsid w:val="004A248E"/>
    <w:rsid w:val="004C4241"/>
    <w:rsid w:val="004F5BFD"/>
    <w:rsid w:val="00521857"/>
    <w:rsid w:val="005B5340"/>
    <w:rsid w:val="0061328A"/>
    <w:rsid w:val="006A4B95"/>
    <w:rsid w:val="007100AF"/>
    <w:rsid w:val="00731DE2"/>
    <w:rsid w:val="00745E8A"/>
    <w:rsid w:val="007B3825"/>
    <w:rsid w:val="007B3826"/>
    <w:rsid w:val="00827242"/>
    <w:rsid w:val="008C2221"/>
    <w:rsid w:val="008C4A5C"/>
    <w:rsid w:val="00914521"/>
    <w:rsid w:val="0096480F"/>
    <w:rsid w:val="009769C5"/>
    <w:rsid w:val="009B2255"/>
    <w:rsid w:val="00A3460B"/>
    <w:rsid w:val="00A87094"/>
    <w:rsid w:val="00B47B34"/>
    <w:rsid w:val="00B75383"/>
    <w:rsid w:val="00B948FA"/>
    <w:rsid w:val="00C65F89"/>
    <w:rsid w:val="00C7055E"/>
    <w:rsid w:val="00C83C50"/>
    <w:rsid w:val="00C93073"/>
    <w:rsid w:val="00D64A60"/>
    <w:rsid w:val="00E17C6A"/>
    <w:rsid w:val="00E242DF"/>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23</cp:revision>
  <dcterms:created xsi:type="dcterms:W3CDTF">2020-06-14T19:00:00Z</dcterms:created>
  <dcterms:modified xsi:type="dcterms:W3CDTF">2023-03-28T06:37:00Z</dcterms:modified>
</cp:coreProperties>
</file>